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38"/>
        <w:gridCol w:w="9771"/>
        <w:gridCol w:w="614"/>
      </w:tblGrid>
      <w:tr w:rsidR="00A50854" w14:paraId="27FAF31A" w14:textId="77777777">
        <w:trPr>
          <w:trHeight w:val="99"/>
        </w:trPr>
        <w:tc>
          <w:tcPr>
            <w:tcW w:w="638" w:type="dxa"/>
          </w:tcPr>
          <w:p w14:paraId="27FAF317" w14:textId="77777777" w:rsidR="00A50854" w:rsidRDefault="00A50854">
            <w:pPr>
              <w:pStyle w:val="EmptyCellLayoutStyle"/>
              <w:spacing w:after="0" w:line="240" w:lineRule="auto"/>
            </w:pPr>
          </w:p>
        </w:tc>
        <w:tc>
          <w:tcPr>
            <w:tcW w:w="9771" w:type="dxa"/>
          </w:tcPr>
          <w:p w14:paraId="27FAF318" w14:textId="77777777" w:rsidR="00A50854" w:rsidRDefault="00A50854">
            <w:pPr>
              <w:pStyle w:val="EmptyCellLayoutStyle"/>
              <w:spacing w:after="0" w:line="240" w:lineRule="auto"/>
            </w:pPr>
          </w:p>
        </w:tc>
        <w:tc>
          <w:tcPr>
            <w:tcW w:w="614" w:type="dxa"/>
          </w:tcPr>
          <w:p w14:paraId="27FAF319" w14:textId="77777777" w:rsidR="00A50854" w:rsidRDefault="00A50854">
            <w:pPr>
              <w:pStyle w:val="EmptyCellLayoutStyle"/>
              <w:spacing w:after="0" w:line="240" w:lineRule="auto"/>
            </w:pPr>
          </w:p>
        </w:tc>
      </w:tr>
      <w:tr w:rsidR="00A50854" w14:paraId="27FAF35D" w14:textId="77777777">
        <w:tc>
          <w:tcPr>
            <w:tcW w:w="638" w:type="dxa"/>
          </w:tcPr>
          <w:p w14:paraId="27FAF31B" w14:textId="77777777" w:rsidR="00A50854" w:rsidRDefault="00A50854">
            <w:pPr>
              <w:pStyle w:val="EmptyCellLayoutStyle"/>
              <w:spacing w:after="0" w:line="240" w:lineRule="auto"/>
            </w:pPr>
          </w:p>
        </w:tc>
        <w:tc>
          <w:tcPr>
            <w:tcW w:w="97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771"/>
            </w:tblGrid>
            <w:tr w:rsidR="00A50854" w14:paraId="27FAF35A" w14:textId="77777777">
              <w:trPr>
                <w:trHeight w:val="12889"/>
              </w:trPr>
              <w:tc>
                <w:tcPr>
                  <w:tcW w:w="9771"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57"/>
                    <w:gridCol w:w="3257"/>
                    <w:gridCol w:w="3257"/>
                  </w:tblGrid>
                  <w:tr w:rsidR="00A50854" w14:paraId="27FAF31F" w14:textId="77777777">
                    <w:trPr>
                      <w:trHeight w:val="986"/>
                    </w:trPr>
                    <w:tc>
                      <w:tcPr>
                        <w:tcW w:w="3257" w:type="dxa"/>
                        <w:tcBorders>
                          <w:top w:val="nil"/>
                          <w:left w:val="nil"/>
                          <w:bottom w:val="nil"/>
                          <w:right w:val="nil"/>
                        </w:tcBorders>
                        <w:tcMar>
                          <w:top w:w="39" w:type="dxa"/>
                          <w:left w:w="39" w:type="dxa"/>
                          <w:bottom w:w="39" w:type="dxa"/>
                          <w:right w:w="39" w:type="dxa"/>
                        </w:tcMar>
                      </w:tcPr>
                      <w:p w14:paraId="27FAF31C" w14:textId="77777777" w:rsidR="00A50854" w:rsidRDefault="00A50854">
                        <w:pPr>
                          <w:spacing w:after="0" w:line="240" w:lineRule="auto"/>
                        </w:pPr>
                      </w:p>
                    </w:tc>
                    <w:tc>
                      <w:tcPr>
                        <w:tcW w:w="3257" w:type="dxa"/>
                        <w:tcBorders>
                          <w:top w:val="nil"/>
                          <w:left w:val="nil"/>
                          <w:bottom w:val="nil"/>
                          <w:right w:val="nil"/>
                        </w:tcBorders>
                        <w:tcMar>
                          <w:top w:w="0" w:type="dxa"/>
                          <w:left w:w="0" w:type="dxa"/>
                          <w:bottom w:w="0" w:type="dxa"/>
                          <w:right w:w="0" w:type="dxa"/>
                        </w:tcMar>
                      </w:tcPr>
                      <w:p w14:paraId="27FAF31D" w14:textId="77777777" w:rsidR="00A50854" w:rsidRDefault="00835F9F">
                        <w:pPr>
                          <w:spacing w:after="0" w:line="240" w:lineRule="auto"/>
                        </w:pPr>
                        <w:r>
                          <w:rPr>
                            <w:noProof/>
                          </w:rPr>
                          <w:drawing>
                            <wp:inline distT="0" distB="0" distL="0" distR="0" wp14:anchorId="27FAF363" wp14:editId="27FAF364">
                              <wp:extent cx="2068344" cy="406073"/>
                              <wp:effectExtent l="0" t="0" r="0" b="0"/>
                              <wp:docPr id="1585338837" name="img2.jpg"/>
                              <wp:cNvGraphicFramePr/>
                              <a:graphic xmlns:a="http://schemas.openxmlformats.org/drawingml/2006/main">
                                <a:graphicData uri="http://schemas.openxmlformats.org/drawingml/2006/picture">
                                  <pic:pic xmlns:pic="http://schemas.openxmlformats.org/drawingml/2006/picture">
                                    <pic:nvPicPr>
                                      <pic:cNvPr id="1" name="img2.jpg"/>
                                      <pic:cNvPicPr/>
                                    </pic:nvPicPr>
                                    <pic:blipFill>
                                      <a:blip r:embed="rId5" cstate="print"/>
                                      <a:stretch>
                                        <a:fillRect/>
                                      </a:stretch>
                                    </pic:blipFill>
                                    <pic:spPr>
                                      <a:xfrm>
                                        <a:off x="0" y="0"/>
                                        <a:ext cx="2068344" cy="406073"/>
                                      </a:xfrm>
                                      <a:prstGeom prst="rect">
                                        <a:avLst/>
                                      </a:prstGeom>
                                    </pic:spPr>
                                  </pic:pic>
                                </a:graphicData>
                              </a:graphic>
                            </wp:inline>
                          </w:drawing>
                        </w:r>
                      </w:p>
                    </w:tc>
                    <w:tc>
                      <w:tcPr>
                        <w:tcW w:w="3257" w:type="dxa"/>
                        <w:tcBorders>
                          <w:top w:val="nil"/>
                          <w:left w:val="nil"/>
                          <w:bottom w:val="nil"/>
                          <w:right w:val="nil"/>
                        </w:tcBorders>
                        <w:tcMar>
                          <w:top w:w="39" w:type="dxa"/>
                          <w:left w:w="39" w:type="dxa"/>
                          <w:bottom w:w="39" w:type="dxa"/>
                          <w:right w:w="39" w:type="dxa"/>
                        </w:tcMar>
                      </w:tcPr>
                      <w:p w14:paraId="27FAF31E" w14:textId="77777777" w:rsidR="00A50854" w:rsidRDefault="00A50854">
                        <w:pPr>
                          <w:spacing w:after="0" w:line="240" w:lineRule="auto"/>
                        </w:pPr>
                      </w:p>
                    </w:tc>
                  </w:tr>
                  <w:tr w:rsidR="001F4514" w14:paraId="27FAF323" w14:textId="77777777" w:rsidTr="001F4514">
                    <w:trPr>
                      <w:trHeight w:val="1076"/>
                    </w:trPr>
                    <w:tc>
                      <w:tcPr>
                        <w:tcW w:w="3257" w:type="dxa"/>
                        <w:gridSpan w:val="3"/>
                        <w:tcBorders>
                          <w:top w:val="nil"/>
                          <w:left w:val="nil"/>
                          <w:bottom w:val="nil"/>
                          <w:right w:val="nil"/>
                        </w:tcBorders>
                        <w:tcMar>
                          <w:top w:w="39" w:type="dxa"/>
                          <w:left w:w="39" w:type="dxa"/>
                          <w:bottom w:w="39" w:type="dxa"/>
                          <w:right w:w="39" w:type="dxa"/>
                        </w:tcMar>
                      </w:tcPr>
                      <w:p w14:paraId="27FAF320" w14:textId="77777777" w:rsidR="00A50854" w:rsidRDefault="00A50854">
                        <w:pPr>
                          <w:spacing w:after="0" w:line="240" w:lineRule="auto"/>
                        </w:pPr>
                      </w:p>
                    </w:tc>
                  </w:tr>
                  <w:tr w:rsidR="00A50854" w14:paraId="27FAF32B" w14:textId="77777777">
                    <w:trPr>
                      <w:trHeight w:val="1751"/>
                    </w:trPr>
                    <w:tc>
                      <w:tcPr>
                        <w:tcW w:w="3257" w:type="dxa"/>
                        <w:tcBorders>
                          <w:top w:val="nil"/>
                          <w:left w:val="nil"/>
                          <w:bottom w:val="nil"/>
                          <w:right w:val="nil"/>
                        </w:tcBorders>
                        <w:tcMar>
                          <w:top w:w="39" w:type="dxa"/>
                          <w:left w:w="39" w:type="dxa"/>
                          <w:bottom w:w="39" w:type="dxa"/>
                          <w:right w:w="39" w:type="dxa"/>
                        </w:tcMar>
                      </w:tcPr>
                      <w:p w14:paraId="27FAF324" w14:textId="77777777" w:rsidR="00A50854" w:rsidRDefault="00A50854">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27FAF325" w14:textId="77777777" w:rsidR="00A50854" w:rsidRDefault="00A50854">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27FAF326" w14:textId="77777777" w:rsidR="00A50854" w:rsidRDefault="00835F9F">
                        <w:pPr>
                          <w:spacing w:after="0" w:line="240" w:lineRule="auto"/>
                          <w:jc w:val="center"/>
                        </w:pPr>
                        <w:r>
                          <w:rPr>
                            <w:color w:val="000000"/>
                            <w:sz w:val="24"/>
                          </w:rPr>
                          <w:t>TVIRTINU:</w:t>
                        </w:r>
                      </w:p>
                      <w:p w14:paraId="27FAF327" w14:textId="77777777" w:rsidR="00A50854" w:rsidRDefault="00835F9F">
                        <w:pPr>
                          <w:spacing w:after="0" w:line="240" w:lineRule="auto"/>
                          <w:jc w:val="center"/>
                        </w:pPr>
                        <w:r>
                          <w:rPr>
                            <w:color w:val="000000"/>
                            <w:sz w:val="24"/>
                          </w:rPr>
                          <w:t>Justas Norbutas</w:t>
                        </w:r>
                      </w:p>
                      <w:p w14:paraId="27FAF328" w14:textId="77777777" w:rsidR="00A50854" w:rsidRDefault="00835F9F">
                        <w:pPr>
                          <w:spacing w:after="0" w:line="240" w:lineRule="auto"/>
                          <w:jc w:val="center"/>
                        </w:pPr>
                        <w:r>
                          <w:rPr>
                            <w:color w:val="000000"/>
                            <w:sz w:val="18"/>
                          </w:rPr>
                          <w:t>(Vardo raidė, pavardė, parašas)</w:t>
                        </w:r>
                      </w:p>
                      <w:p w14:paraId="27FAF329" w14:textId="77777777" w:rsidR="00A50854" w:rsidRDefault="00835F9F">
                        <w:pPr>
                          <w:spacing w:after="0" w:line="240" w:lineRule="auto"/>
                          <w:jc w:val="center"/>
                        </w:pPr>
                        <w:r>
                          <w:rPr>
                            <w:color w:val="000000"/>
                            <w:sz w:val="24"/>
                          </w:rPr>
                          <w:t>____________________</w:t>
                        </w:r>
                      </w:p>
                      <w:p w14:paraId="27FAF32A" w14:textId="77777777" w:rsidR="00A50854" w:rsidRDefault="00835F9F">
                        <w:pPr>
                          <w:spacing w:after="0" w:line="240" w:lineRule="auto"/>
                          <w:jc w:val="center"/>
                        </w:pPr>
                        <w:r>
                          <w:rPr>
                            <w:color w:val="000000"/>
                            <w:sz w:val="18"/>
                          </w:rPr>
                          <w:t>(data)</w:t>
                        </w:r>
                      </w:p>
                    </w:tc>
                  </w:tr>
                  <w:tr w:rsidR="001F4514" w14:paraId="27FAF330" w14:textId="77777777" w:rsidTr="001F4514">
                    <w:trPr>
                      <w:trHeight w:val="1361"/>
                    </w:trPr>
                    <w:tc>
                      <w:tcPr>
                        <w:tcW w:w="3257" w:type="dxa"/>
                        <w:gridSpan w:val="3"/>
                        <w:tcBorders>
                          <w:top w:val="nil"/>
                          <w:left w:val="nil"/>
                          <w:bottom w:val="nil"/>
                          <w:right w:val="nil"/>
                        </w:tcBorders>
                        <w:tcMar>
                          <w:top w:w="39" w:type="dxa"/>
                          <w:left w:w="39" w:type="dxa"/>
                          <w:bottom w:w="39" w:type="dxa"/>
                          <w:right w:w="39" w:type="dxa"/>
                        </w:tcMar>
                      </w:tcPr>
                      <w:p w14:paraId="27FAF32C" w14:textId="77777777" w:rsidR="00A50854" w:rsidRDefault="00835F9F">
                        <w:pPr>
                          <w:spacing w:after="0" w:line="240" w:lineRule="auto"/>
                          <w:jc w:val="center"/>
                        </w:pPr>
                        <w:r>
                          <w:rPr>
                            <w:b/>
                            <w:color w:val="000000"/>
                            <w:sz w:val="28"/>
                          </w:rPr>
                          <w:t>TECHNINĖ UŽDUOTIS VALSTYBINĖS REIKŠMĖS KELIŲ IR</w:t>
                        </w:r>
                      </w:p>
                      <w:p w14:paraId="27FAF32D" w14:textId="77777777" w:rsidR="00A50854" w:rsidRDefault="00835F9F">
                        <w:pPr>
                          <w:spacing w:after="0" w:line="240" w:lineRule="auto"/>
                          <w:jc w:val="center"/>
                        </w:pPr>
                        <w:r>
                          <w:rPr>
                            <w:b/>
                            <w:color w:val="000000"/>
                            <w:sz w:val="28"/>
                          </w:rPr>
                          <w:t xml:space="preserve"> / ARBA JŲ ELEMENTŲ PROJEKTAVIMUI</w:t>
                        </w:r>
                      </w:p>
                    </w:tc>
                  </w:tr>
                  <w:tr w:rsidR="00A50854" w14:paraId="27FAF334" w14:textId="77777777">
                    <w:trPr>
                      <w:trHeight w:val="990"/>
                    </w:trPr>
                    <w:tc>
                      <w:tcPr>
                        <w:tcW w:w="3257" w:type="dxa"/>
                        <w:tcBorders>
                          <w:top w:val="nil"/>
                          <w:left w:val="nil"/>
                          <w:bottom w:val="nil"/>
                          <w:right w:val="nil"/>
                        </w:tcBorders>
                        <w:tcMar>
                          <w:top w:w="39" w:type="dxa"/>
                          <w:left w:w="39" w:type="dxa"/>
                          <w:bottom w:w="39" w:type="dxa"/>
                          <w:right w:w="39" w:type="dxa"/>
                        </w:tcMar>
                      </w:tcPr>
                      <w:p w14:paraId="27FAF331" w14:textId="77777777" w:rsidR="00A50854" w:rsidRDefault="00A50854">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27FAF332" w14:textId="77777777" w:rsidR="00A50854" w:rsidRDefault="00A50854">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27FAF333" w14:textId="77777777" w:rsidR="00A50854" w:rsidRDefault="00A50854">
                        <w:pPr>
                          <w:spacing w:after="0" w:line="240" w:lineRule="auto"/>
                        </w:pPr>
                      </w:p>
                    </w:tc>
                  </w:tr>
                  <w:tr w:rsidR="001F4514" w14:paraId="27FAF338" w14:textId="77777777" w:rsidTr="001F4514">
                    <w:trPr>
                      <w:trHeight w:val="457"/>
                    </w:trPr>
                    <w:tc>
                      <w:tcPr>
                        <w:tcW w:w="3257" w:type="dxa"/>
                        <w:gridSpan w:val="3"/>
                        <w:tcBorders>
                          <w:top w:val="nil"/>
                          <w:left w:val="nil"/>
                          <w:bottom w:val="nil"/>
                          <w:right w:val="nil"/>
                        </w:tcBorders>
                        <w:tcMar>
                          <w:top w:w="39" w:type="dxa"/>
                          <w:left w:w="39" w:type="dxa"/>
                          <w:bottom w:w="39" w:type="dxa"/>
                          <w:right w:w="39" w:type="dxa"/>
                        </w:tcMar>
                      </w:tcPr>
                      <w:p w14:paraId="27FAF335" w14:textId="61270630" w:rsidR="00A50854" w:rsidRDefault="00835F9F">
                        <w:pPr>
                          <w:spacing w:after="0" w:line="240" w:lineRule="auto"/>
                        </w:pPr>
                        <w:r>
                          <w:rPr>
                            <w:b/>
                            <w:color w:val="000000"/>
                            <w:sz w:val="24"/>
                          </w:rPr>
                          <w:t xml:space="preserve">1. Statytojas: </w:t>
                        </w:r>
                        <w:r>
                          <w:rPr>
                            <w:color w:val="000000"/>
                            <w:sz w:val="24"/>
                          </w:rPr>
                          <w:t>Akcinė bendrovė Via Lietuva.</w:t>
                        </w:r>
                        <w:r>
                          <w:rPr>
                            <w:color w:val="000000"/>
                            <w:sz w:val="24"/>
                          </w:rPr>
                          <w:br/>
                        </w:r>
                        <w:r>
                          <w:rPr>
                            <w:color w:val="000000"/>
                            <w:sz w:val="24"/>
                          </w:rPr>
                          <w:br/>
                        </w:r>
                        <w:r>
                          <w:rPr>
                            <w:b/>
                            <w:color w:val="000000"/>
                            <w:sz w:val="24"/>
                          </w:rPr>
                          <w:t xml:space="preserve">2. Užsakovas: </w:t>
                        </w:r>
                        <w:r>
                          <w:rPr>
                            <w:color w:val="000000"/>
                            <w:sz w:val="24"/>
                          </w:rPr>
                          <w:t>Akcinė bendrovė Via Lietuva.</w:t>
                        </w:r>
                        <w:r>
                          <w:rPr>
                            <w:color w:val="000000"/>
                            <w:sz w:val="24"/>
                          </w:rPr>
                          <w:br/>
                        </w:r>
                        <w:r>
                          <w:rPr>
                            <w:color w:val="000000"/>
                            <w:sz w:val="24"/>
                          </w:rPr>
                          <w:br/>
                        </w:r>
                        <w:r>
                          <w:rPr>
                            <w:b/>
                            <w:color w:val="000000"/>
                            <w:sz w:val="24"/>
                          </w:rPr>
                          <w:t xml:space="preserve">3. Komplekso pavadinimas: </w:t>
                        </w:r>
                        <w:r>
                          <w:rPr>
                            <w:color w:val="000000"/>
                            <w:sz w:val="24"/>
                          </w:rPr>
                          <w:t>Valstybinės reikšmės krašto kelio Nr. 140 Kaunas-Zapyškis-Šakiai sankryžos, esančios 11,833 km (su vietinės reikšmės keliais) kapitalinio remonto techninio darbo projekto parengimas ir projekto vykdymo priežiūra.</w:t>
                        </w:r>
                        <w:r>
                          <w:rPr>
                            <w:color w:val="000000"/>
                            <w:sz w:val="24"/>
                          </w:rPr>
                          <w:br/>
                        </w:r>
                        <w:r>
                          <w:rPr>
                            <w:color w:val="000000"/>
                            <w:sz w:val="24"/>
                          </w:rPr>
                          <w:br/>
                        </w:r>
                        <w:r>
                          <w:rPr>
                            <w:b/>
                            <w:color w:val="000000"/>
                            <w:sz w:val="24"/>
                          </w:rPr>
                          <w:t xml:space="preserve">4. Projekto pavadinimas: </w:t>
                        </w:r>
                        <w:r>
                          <w:rPr>
                            <w:color w:val="000000"/>
                            <w:sz w:val="24"/>
                          </w:rPr>
                          <w:t>Valstybinės reikšmės krašto kelio Nr. 140 Kaunas-Zapyškis-Šakiai sankryžos, esančios 11,833 km (su vietinės reikšmės keliais) kapitalinis remontas.</w:t>
                        </w:r>
                        <w:r>
                          <w:rPr>
                            <w:color w:val="000000"/>
                            <w:sz w:val="24"/>
                          </w:rPr>
                          <w:br/>
                        </w:r>
                        <w:r>
                          <w:rPr>
                            <w:color w:val="000000"/>
                            <w:sz w:val="24"/>
                          </w:rPr>
                          <w:br/>
                        </w:r>
                        <w:r>
                          <w:rPr>
                            <w:b/>
                            <w:color w:val="000000"/>
                            <w:sz w:val="24"/>
                          </w:rPr>
                          <w:t xml:space="preserve">5. Statybos rūšis: </w:t>
                        </w:r>
                        <w:r>
                          <w:rPr>
                            <w:color w:val="000000"/>
                            <w:sz w:val="24"/>
                          </w:rPr>
                          <w:t>kapitalinis remontas.</w:t>
                        </w:r>
                        <w:r>
                          <w:rPr>
                            <w:color w:val="000000"/>
                            <w:sz w:val="24"/>
                          </w:rPr>
                          <w:br/>
                        </w:r>
                        <w:r>
                          <w:rPr>
                            <w:color w:val="000000"/>
                            <w:sz w:val="24"/>
                          </w:rPr>
                          <w:br/>
                        </w:r>
                        <w:r>
                          <w:rPr>
                            <w:b/>
                            <w:color w:val="000000"/>
                            <w:sz w:val="24"/>
                          </w:rPr>
                          <w:t xml:space="preserve">6. Etapas: </w:t>
                        </w:r>
                        <w:r w:rsidR="00D7313E">
                          <w:rPr>
                            <w:color w:val="000000"/>
                            <w:sz w:val="24"/>
                          </w:rPr>
                          <w:t>techninis darbo projektas</w:t>
                        </w:r>
                        <w:r>
                          <w:rPr>
                            <w:color w:val="000000"/>
                            <w:sz w:val="24"/>
                          </w:rPr>
                          <w:t>.</w:t>
                        </w:r>
                        <w:r>
                          <w:rPr>
                            <w:color w:val="000000"/>
                            <w:sz w:val="24"/>
                          </w:rPr>
                          <w:br/>
                        </w:r>
                        <w:r>
                          <w:rPr>
                            <w:color w:val="000000"/>
                            <w:sz w:val="24"/>
                          </w:rPr>
                          <w:br/>
                        </w:r>
                        <w:r>
                          <w:rPr>
                            <w:b/>
                            <w:color w:val="000000"/>
                            <w:sz w:val="24"/>
                          </w:rPr>
                          <w:t xml:space="preserve">7. Statinio kategorija: </w:t>
                        </w:r>
                        <w:r>
                          <w:rPr>
                            <w:color w:val="000000"/>
                            <w:sz w:val="24"/>
                          </w:rPr>
                          <w:t>ypatingasis statinys.</w:t>
                        </w:r>
                        <w:r>
                          <w:rPr>
                            <w:color w:val="000000"/>
                            <w:sz w:val="24"/>
                          </w:rPr>
                          <w:br/>
                        </w:r>
                        <w:r>
                          <w:rPr>
                            <w:color w:val="000000"/>
                            <w:sz w:val="24"/>
                          </w:rPr>
                          <w:br/>
                        </w:r>
                        <w:r>
                          <w:rPr>
                            <w:b/>
                            <w:color w:val="000000"/>
                            <w:sz w:val="24"/>
                          </w:rPr>
                          <w:t xml:space="preserve">8. Statinio rūšis: </w:t>
                        </w:r>
                        <w:r>
                          <w:rPr>
                            <w:color w:val="000000"/>
                            <w:sz w:val="24"/>
                          </w:rPr>
                          <w:t>inžinerinis statinys.</w:t>
                        </w:r>
                        <w:r>
                          <w:rPr>
                            <w:color w:val="000000"/>
                            <w:sz w:val="24"/>
                          </w:rPr>
                          <w:br/>
                        </w:r>
                        <w:r>
                          <w:rPr>
                            <w:color w:val="000000"/>
                            <w:sz w:val="24"/>
                          </w:rPr>
                          <w:br/>
                        </w:r>
                        <w:r>
                          <w:rPr>
                            <w:b/>
                            <w:color w:val="000000"/>
                            <w:sz w:val="24"/>
                          </w:rPr>
                          <w:t xml:space="preserve">9. Inžinerinių statinių grupė: </w:t>
                        </w:r>
                        <w:r>
                          <w:rPr>
                            <w:color w:val="000000"/>
                            <w:sz w:val="24"/>
                          </w:rPr>
                          <w:t>susisiekimo komunikacijos.</w:t>
                        </w:r>
                        <w:r>
                          <w:rPr>
                            <w:color w:val="000000"/>
                            <w:sz w:val="24"/>
                          </w:rPr>
                          <w:br/>
                        </w:r>
                        <w:r>
                          <w:rPr>
                            <w:color w:val="000000"/>
                            <w:sz w:val="24"/>
                          </w:rPr>
                          <w:br/>
                        </w:r>
                        <w:r>
                          <w:rPr>
                            <w:b/>
                            <w:color w:val="000000"/>
                            <w:sz w:val="24"/>
                          </w:rPr>
                          <w:t xml:space="preserve">10. Inžinerinių statinių pogrupis: </w:t>
                        </w:r>
                        <w:r>
                          <w:rPr>
                            <w:color w:val="000000"/>
                            <w:sz w:val="24"/>
                          </w:rPr>
                          <w:t>keliai.</w:t>
                        </w:r>
                        <w:r>
                          <w:rPr>
                            <w:color w:val="000000"/>
                            <w:sz w:val="24"/>
                          </w:rPr>
                          <w:br/>
                        </w:r>
                      </w:p>
                    </w:tc>
                  </w:tr>
                  <w:tr w:rsidR="001F4514" w14:paraId="27FAF33C" w14:textId="77777777" w:rsidTr="001F4514">
                    <w:trPr>
                      <w:trHeight w:val="446"/>
                    </w:trPr>
                    <w:tc>
                      <w:tcPr>
                        <w:tcW w:w="3257" w:type="dxa"/>
                        <w:gridSpan w:val="3"/>
                        <w:tcBorders>
                          <w:top w:val="nil"/>
                          <w:left w:val="nil"/>
                          <w:bottom w:val="nil"/>
                          <w:right w:val="nil"/>
                        </w:tcBorders>
                        <w:tcMar>
                          <w:top w:w="39" w:type="dxa"/>
                          <w:left w:w="39" w:type="dxa"/>
                          <w:bottom w:w="39" w:type="dxa"/>
                          <w:right w:w="39" w:type="dxa"/>
                        </w:tcMar>
                      </w:tcPr>
                      <w:p w14:paraId="27FAF339" w14:textId="77777777" w:rsidR="00A50854" w:rsidRDefault="00835F9F">
                        <w:pPr>
                          <w:spacing w:after="0" w:line="240" w:lineRule="auto"/>
                        </w:pPr>
                        <w:r>
                          <w:rPr>
                            <w:b/>
                            <w:color w:val="000000"/>
                            <w:sz w:val="24"/>
                          </w:rPr>
                          <w:t>11. Nurodymai statinių ir / arba jų elementų projektavimui ir jų techniniai parametrai:</w:t>
                        </w:r>
                      </w:p>
                    </w:tc>
                  </w:tr>
                  <w:tr w:rsidR="001F4514" w14:paraId="27FAF340" w14:textId="77777777" w:rsidTr="001F4514">
                    <w:trPr>
                      <w:trHeight w:val="431"/>
                    </w:trPr>
                    <w:tc>
                      <w:tcPr>
                        <w:tcW w:w="3257" w:type="dxa"/>
                        <w:gridSpan w:val="3"/>
                        <w:tcBorders>
                          <w:top w:val="nil"/>
                          <w:left w:val="nil"/>
                          <w:bottom w:val="nil"/>
                          <w:right w:val="nil"/>
                        </w:tcBorders>
                        <w:tcMar>
                          <w:top w:w="39" w:type="dxa"/>
                          <w:left w:w="39" w:type="dxa"/>
                          <w:bottom w:w="39" w:type="dxa"/>
                          <w:right w:w="39" w:type="dxa"/>
                        </w:tcMar>
                      </w:tcPr>
                      <w:p w14:paraId="27FAF33D" w14:textId="77777777" w:rsidR="00A50854" w:rsidRDefault="00835F9F">
                        <w:pPr>
                          <w:spacing w:after="0" w:line="240" w:lineRule="auto"/>
                          <w:ind w:left="720" w:hanging="360"/>
                        </w:pPr>
                        <w:r>
                          <w:rPr>
                            <w:i/>
                            <w:color w:val="000000"/>
                            <w:sz w:val="24"/>
                          </w:rPr>
                          <w:t xml:space="preserve">11.1. numatoma darbų vykdymo riba: </w:t>
                        </w:r>
                        <w:r>
                          <w:rPr>
                            <w:color w:val="000000"/>
                            <w:sz w:val="24"/>
                          </w:rPr>
                          <w:t>kapitaliai remontuojant sankryžą 11,833 km turi būti tvarkomos ir jos prieigos tiek, kiek tai reikalinga saugiam ir sklandžiam visų eismo dalyvių eismui užtikrinti, ribą tikslinti projektavimo metu;</w:t>
                        </w:r>
                        <w:r>
                          <w:rPr>
                            <w:color w:val="000000"/>
                            <w:sz w:val="24"/>
                          </w:rPr>
                          <w:br/>
                        </w:r>
                        <w:r>
                          <w:rPr>
                            <w:color w:val="000000"/>
                            <w:sz w:val="24"/>
                          </w:rPr>
                          <w:lastRenderedPageBreak/>
                          <w:br/>
                        </w:r>
                        <w:r>
                          <w:rPr>
                            <w:i/>
                            <w:color w:val="000000"/>
                            <w:sz w:val="24"/>
                          </w:rPr>
                          <w:t xml:space="preserve">11.2. kelio (gatvės) kategorija: </w:t>
                        </w:r>
                        <w:r>
                          <w:rPr>
                            <w:color w:val="000000"/>
                            <w:sz w:val="24"/>
                          </w:rPr>
                          <w:t>pagal VĮ Registrų centro duomenis (gyvenvietėje projektuoti pagal STR 2.06.04:2014 „Gatvės ir vietinės reikšmės keliai. Bendrieji reikalavimai“);</w:t>
                        </w:r>
                        <w:r>
                          <w:rPr>
                            <w:color w:val="000000"/>
                            <w:sz w:val="24"/>
                          </w:rPr>
                          <w:br/>
                        </w:r>
                        <w:r>
                          <w:rPr>
                            <w:color w:val="000000"/>
                            <w:sz w:val="24"/>
                          </w:rPr>
                          <w:br/>
                        </w:r>
                        <w:r>
                          <w:rPr>
                            <w:i/>
                            <w:color w:val="000000"/>
                            <w:sz w:val="24"/>
                          </w:rPr>
                          <w:t xml:space="preserve">11.3. projektavimo paslaugų apimtis: </w:t>
                        </w:r>
                        <w:r>
                          <w:rPr>
                            <w:color w:val="000000"/>
                            <w:sz w:val="24"/>
                          </w:rPr>
                          <w:t>projekto apimtyje atlikti sankryžos ir jos prieigų kapitalinį remontą, įvertinti esamą ir būsimą užstatymą bei eismo intensyvumą, numatyti aktualias pėsčiųjų infrastruktūros jungtis, pėsčiųjų eismo per kelią organizavimo priemones (vieta ir tipas parenkama projektavimo metu), vandens nuvedimą, apšvietimą;</w:t>
                        </w:r>
                        <w:r>
                          <w:rPr>
                            <w:color w:val="000000"/>
                            <w:sz w:val="24"/>
                          </w:rPr>
                          <w:br/>
                        </w:r>
                        <w:r>
                          <w:rPr>
                            <w:color w:val="000000"/>
                            <w:sz w:val="24"/>
                          </w:rPr>
                          <w:br/>
                        </w:r>
                        <w:r>
                          <w:rPr>
                            <w:i/>
                            <w:color w:val="000000"/>
                            <w:sz w:val="24"/>
                          </w:rPr>
                          <w:t xml:space="preserve">11.4. pėstiesiems ir (arba) dviratininkams skirta infrastruktūra: </w:t>
                        </w:r>
                        <w:r>
                          <w:rPr>
                            <w:color w:val="000000"/>
                            <w:sz w:val="24"/>
                          </w:rPr>
                          <w:t>pagal Dviračių ir pėsčiųjų eismo infrastruktūros planavimo ir projektavimo taisyklės;</w:t>
                        </w:r>
                        <w:r>
                          <w:rPr>
                            <w:color w:val="000000"/>
                            <w:sz w:val="24"/>
                          </w:rPr>
                          <w:br/>
                        </w:r>
                        <w:r>
                          <w:rPr>
                            <w:color w:val="000000"/>
                            <w:sz w:val="24"/>
                          </w:rPr>
                          <w:br/>
                        </w:r>
                        <w:r>
                          <w:rPr>
                            <w:i/>
                            <w:color w:val="000000"/>
                            <w:sz w:val="24"/>
                          </w:rPr>
                          <w:t xml:space="preserve">11.5. pėstiesiems ir (arba) dviratininkams skirtos infrastruktūros dangos konstrukcija: </w:t>
                        </w:r>
                        <w:r>
                          <w:rPr>
                            <w:color w:val="000000"/>
                            <w:sz w:val="24"/>
                          </w:rPr>
                          <w:t>pagal Automobilių kelių standartizuotų dangų konstrukcijų projektavimo taisykles KPT SDK 19;</w:t>
                        </w:r>
                        <w:r>
                          <w:rPr>
                            <w:color w:val="000000"/>
                            <w:sz w:val="24"/>
                          </w:rPr>
                          <w:br/>
                        </w:r>
                        <w:r>
                          <w:rPr>
                            <w:color w:val="000000"/>
                            <w:sz w:val="24"/>
                          </w:rPr>
                          <w:br/>
                        </w:r>
                        <w:r>
                          <w:rPr>
                            <w:i/>
                            <w:color w:val="000000"/>
                            <w:sz w:val="24"/>
                          </w:rPr>
                          <w:t xml:space="preserve">11.6. važiuojamosios dalies skersinis profilis: </w:t>
                        </w:r>
                        <w:r>
                          <w:rPr>
                            <w:color w:val="000000"/>
                            <w:sz w:val="24"/>
                          </w:rPr>
                          <w:t>pagal normatyvinių dokumentų reikalavimus;</w:t>
                        </w:r>
                        <w:r>
                          <w:rPr>
                            <w:color w:val="000000"/>
                            <w:sz w:val="24"/>
                          </w:rPr>
                          <w:br/>
                        </w:r>
                        <w:r>
                          <w:rPr>
                            <w:color w:val="000000"/>
                            <w:sz w:val="24"/>
                          </w:rPr>
                          <w:br/>
                        </w:r>
                        <w:r>
                          <w:rPr>
                            <w:i/>
                            <w:color w:val="000000"/>
                            <w:sz w:val="24"/>
                          </w:rPr>
                          <w:t xml:space="preserve">11.7. dangos konstrukcijos klasė: </w:t>
                        </w:r>
                        <w:r>
                          <w:rPr>
                            <w:color w:val="000000"/>
                            <w:sz w:val="24"/>
                          </w:rPr>
                          <w:t>pagal Automobilių kelių standartizuotų dangų konstrukcijų projektavimo taisykles KPT SDK 19;</w:t>
                        </w:r>
                        <w:r>
                          <w:rPr>
                            <w:color w:val="000000"/>
                            <w:sz w:val="24"/>
                          </w:rPr>
                          <w:br/>
                        </w:r>
                        <w:r>
                          <w:rPr>
                            <w:color w:val="000000"/>
                            <w:sz w:val="24"/>
                          </w:rPr>
                          <w:br/>
                        </w:r>
                        <w:r>
                          <w:rPr>
                            <w:i/>
                            <w:color w:val="000000"/>
                            <w:sz w:val="24"/>
                          </w:rPr>
                          <w:t xml:space="preserve">11.8. nuovažų skaičius: </w:t>
                        </w:r>
                        <w:r>
                          <w:rPr>
                            <w:color w:val="000000"/>
                            <w:sz w:val="24"/>
                          </w:rPr>
                          <w:t>nustatoma projektavimo metu;</w:t>
                        </w:r>
                        <w:r>
                          <w:rPr>
                            <w:color w:val="000000"/>
                            <w:sz w:val="24"/>
                          </w:rPr>
                          <w:br/>
                        </w:r>
                        <w:r>
                          <w:rPr>
                            <w:color w:val="000000"/>
                            <w:sz w:val="24"/>
                          </w:rPr>
                          <w:br/>
                        </w:r>
                        <w:r>
                          <w:rPr>
                            <w:i/>
                            <w:color w:val="000000"/>
                            <w:sz w:val="24"/>
                          </w:rPr>
                          <w:t xml:space="preserve">11.9. numatomi / rekonstruojami inžineriniai tinklai: </w:t>
                        </w:r>
                        <w:r>
                          <w:rPr>
                            <w:color w:val="000000"/>
                            <w:sz w:val="24"/>
                          </w:rPr>
                          <w:t>nustatoma projektavimo metu;</w:t>
                        </w:r>
                        <w:r>
                          <w:rPr>
                            <w:color w:val="000000"/>
                            <w:sz w:val="24"/>
                          </w:rPr>
                          <w:br/>
                        </w:r>
                        <w:r>
                          <w:rPr>
                            <w:color w:val="000000"/>
                            <w:sz w:val="24"/>
                          </w:rPr>
                          <w:br/>
                        </w:r>
                        <w:r>
                          <w:rPr>
                            <w:i/>
                            <w:color w:val="000000"/>
                            <w:sz w:val="24"/>
                          </w:rPr>
                          <w:t xml:space="preserve">11.10. vandens pralaidos: </w:t>
                        </w:r>
                        <w:r>
                          <w:rPr>
                            <w:color w:val="000000"/>
                            <w:sz w:val="24"/>
                          </w:rPr>
                          <w:t>esamų tvarkymas ar naujų įrengimas nustatomas projektavimo metu (neprojektuoti pralaidų už kelio sklypo / statinio ribos);</w:t>
                        </w:r>
                        <w:r>
                          <w:rPr>
                            <w:color w:val="000000"/>
                            <w:sz w:val="24"/>
                          </w:rPr>
                          <w:br/>
                        </w:r>
                        <w:r>
                          <w:rPr>
                            <w:color w:val="000000"/>
                            <w:sz w:val="24"/>
                          </w:rPr>
                          <w:br/>
                        </w:r>
                        <w:r>
                          <w:rPr>
                            <w:i/>
                            <w:color w:val="000000"/>
                            <w:sz w:val="24"/>
                          </w:rPr>
                          <w:t xml:space="preserve">11.11. vandens nuleidimas nuo kelio: </w:t>
                        </w:r>
                        <w:r>
                          <w:rPr>
                            <w:color w:val="000000"/>
                            <w:sz w:val="24"/>
                          </w:rPr>
                          <w:t>spręsti lietaus vandens surinkimą ir nuvedimą projektavimo metu (neprojektuoti lietaus vandens nuvedimo į privačias teritorijas);</w:t>
                        </w:r>
                        <w:r>
                          <w:rPr>
                            <w:color w:val="000000"/>
                            <w:sz w:val="24"/>
                          </w:rPr>
                          <w:br/>
                        </w:r>
                        <w:r>
                          <w:rPr>
                            <w:color w:val="000000"/>
                            <w:sz w:val="24"/>
                          </w:rPr>
                          <w:br/>
                        </w:r>
                        <w:r>
                          <w:rPr>
                            <w:i/>
                            <w:color w:val="000000"/>
                            <w:sz w:val="24"/>
                          </w:rPr>
                          <w:t xml:space="preserve">11.12. pėsčiųjų perėjimo per kelią organizavimo priemonės vieta: </w:t>
                        </w:r>
                        <w:r>
                          <w:rPr>
                            <w:color w:val="000000"/>
                            <w:sz w:val="24"/>
                          </w:rPr>
                          <w:t>nustatoma projektavimo metu;</w:t>
                        </w:r>
                        <w:r>
                          <w:rPr>
                            <w:color w:val="000000"/>
                            <w:sz w:val="24"/>
                          </w:rPr>
                          <w:br/>
                        </w:r>
                        <w:r>
                          <w:rPr>
                            <w:color w:val="000000"/>
                            <w:sz w:val="24"/>
                          </w:rPr>
                          <w:br/>
                        </w:r>
                        <w:r>
                          <w:rPr>
                            <w:i/>
                            <w:color w:val="000000"/>
                            <w:sz w:val="24"/>
                          </w:rPr>
                          <w:t xml:space="preserve">11.13. pėsčiųjų perėjimo per kelią organizavimo priemonės tipas: </w:t>
                        </w:r>
                        <w:r>
                          <w:rPr>
                            <w:color w:val="000000"/>
                            <w:sz w:val="24"/>
                          </w:rPr>
                          <w:t>poreikį nustatyti projektavimo metu, vadovaujantis Pėsčiųjų perėjimo per kelius ir gatves organizavimo taisyklėmis;</w:t>
                        </w:r>
                        <w:r>
                          <w:rPr>
                            <w:color w:val="000000"/>
                            <w:sz w:val="24"/>
                          </w:rPr>
                          <w:br/>
                        </w:r>
                        <w:r>
                          <w:rPr>
                            <w:color w:val="000000"/>
                            <w:sz w:val="24"/>
                          </w:rPr>
                          <w:br/>
                        </w:r>
                        <w:r>
                          <w:rPr>
                            <w:i/>
                            <w:color w:val="000000"/>
                            <w:sz w:val="24"/>
                          </w:rPr>
                          <w:t xml:space="preserve">11.14. pėsčiųjų perėjimo per kelią organizavimo priemonės kryptinis apšvietimas: </w:t>
                        </w:r>
                        <w:r>
                          <w:rPr>
                            <w:color w:val="000000"/>
                            <w:sz w:val="24"/>
                          </w:rPr>
                          <w:t>numatyti;</w:t>
                        </w:r>
                        <w:r>
                          <w:rPr>
                            <w:color w:val="000000"/>
                            <w:sz w:val="24"/>
                          </w:rPr>
                          <w:br/>
                        </w:r>
                        <w:r>
                          <w:rPr>
                            <w:color w:val="000000"/>
                            <w:sz w:val="24"/>
                          </w:rPr>
                          <w:br/>
                        </w:r>
                        <w:r>
                          <w:rPr>
                            <w:i/>
                            <w:color w:val="000000"/>
                            <w:sz w:val="24"/>
                          </w:rPr>
                          <w:t xml:space="preserve">11.15. autobusų sustojimo aikštelių skaičius: </w:t>
                        </w:r>
                        <w:r>
                          <w:rPr>
                            <w:color w:val="000000"/>
                            <w:sz w:val="24"/>
                          </w:rPr>
                          <w:t>nustatoma projektavimo metu;</w:t>
                        </w:r>
                        <w:r>
                          <w:rPr>
                            <w:color w:val="000000"/>
                            <w:sz w:val="24"/>
                          </w:rPr>
                          <w:br/>
                        </w:r>
                        <w:r>
                          <w:rPr>
                            <w:color w:val="000000"/>
                            <w:sz w:val="24"/>
                          </w:rPr>
                          <w:br/>
                        </w:r>
                        <w:r>
                          <w:rPr>
                            <w:i/>
                            <w:color w:val="000000"/>
                            <w:sz w:val="24"/>
                          </w:rPr>
                          <w:t xml:space="preserve">11.16. autobusų sustojimo aikštelių paviljonų skaičius: </w:t>
                        </w:r>
                        <w:r>
                          <w:rPr>
                            <w:color w:val="000000"/>
                            <w:sz w:val="24"/>
                          </w:rPr>
                          <w:t>nustatoma projektavimo metu;</w:t>
                        </w:r>
                        <w:r>
                          <w:rPr>
                            <w:color w:val="000000"/>
                            <w:sz w:val="24"/>
                          </w:rPr>
                          <w:br/>
                        </w:r>
                        <w:r>
                          <w:rPr>
                            <w:color w:val="000000"/>
                            <w:sz w:val="24"/>
                          </w:rPr>
                          <w:br/>
                        </w:r>
                        <w:r>
                          <w:rPr>
                            <w:i/>
                            <w:color w:val="000000"/>
                            <w:sz w:val="24"/>
                          </w:rPr>
                          <w:t xml:space="preserve">11.17. inžinerinės eismo saugos priemonės: </w:t>
                        </w:r>
                        <w:r>
                          <w:rPr>
                            <w:color w:val="000000"/>
                            <w:sz w:val="24"/>
                          </w:rPr>
                          <w:t>poreikį nustatyti projektavimo metu, vadovaujantis Inžinerinių eismo saugumo priemonių įgyvendinimo rekomendacijomis;</w:t>
                        </w:r>
                        <w:r>
                          <w:rPr>
                            <w:color w:val="000000"/>
                            <w:sz w:val="24"/>
                          </w:rPr>
                          <w:br/>
                        </w:r>
                        <w:r>
                          <w:rPr>
                            <w:color w:val="000000"/>
                            <w:sz w:val="24"/>
                          </w:rPr>
                          <w:br/>
                        </w:r>
                        <w:r>
                          <w:rPr>
                            <w:i/>
                            <w:color w:val="000000"/>
                            <w:sz w:val="24"/>
                          </w:rPr>
                          <w:t xml:space="preserve">11.18. apšvietimas: </w:t>
                        </w:r>
                        <w:r>
                          <w:rPr>
                            <w:color w:val="000000"/>
                            <w:sz w:val="24"/>
                          </w:rPr>
                          <w:t>numatyti. Apšvietimo apskaita turi būti atskira nuo savivaldybės tinklų;</w:t>
                        </w:r>
                        <w:r>
                          <w:rPr>
                            <w:color w:val="000000"/>
                            <w:sz w:val="24"/>
                          </w:rPr>
                          <w:br/>
                        </w:r>
                        <w:r>
                          <w:rPr>
                            <w:color w:val="000000"/>
                            <w:sz w:val="24"/>
                          </w:rPr>
                          <w:br/>
                        </w:r>
                        <w:r>
                          <w:rPr>
                            <w:i/>
                            <w:color w:val="000000"/>
                            <w:sz w:val="24"/>
                          </w:rPr>
                          <w:t xml:space="preserve">11.19. kiti reikalavimai: </w:t>
                        </w:r>
                        <w:r>
                          <w:rPr>
                            <w:color w:val="000000"/>
                            <w:sz w:val="24"/>
                          </w:rPr>
                          <w:t>visi darbai turi būti atliekami esamoje kelio juostoje (žemės sklype) arba laisvoje valstybinėje žemėje. Jei sprendiniai už kelio juostos (žemės sklypo) ribų, turi būti gautas valstybinės žemės valdytojo sutikimas.</w:t>
                        </w:r>
                        <w:r>
                          <w:rPr>
                            <w:color w:val="000000"/>
                            <w:sz w:val="24"/>
                          </w:rPr>
                          <w:br/>
                          <w:t xml:space="preserve"> </w:t>
                        </w:r>
                      </w:p>
                    </w:tc>
                  </w:tr>
                  <w:tr w:rsidR="001F4514" w14:paraId="27FAF344" w14:textId="77777777" w:rsidTr="001F4514">
                    <w:trPr>
                      <w:trHeight w:val="481"/>
                    </w:trPr>
                    <w:tc>
                      <w:tcPr>
                        <w:tcW w:w="3257" w:type="dxa"/>
                        <w:gridSpan w:val="3"/>
                        <w:tcBorders>
                          <w:top w:val="nil"/>
                          <w:left w:val="nil"/>
                          <w:bottom w:val="nil"/>
                          <w:right w:val="nil"/>
                        </w:tcBorders>
                        <w:tcMar>
                          <w:top w:w="39" w:type="dxa"/>
                          <w:left w:w="39" w:type="dxa"/>
                          <w:bottom w:w="39" w:type="dxa"/>
                          <w:right w:w="39" w:type="dxa"/>
                        </w:tcMar>
                      </w:tcPr>
                      <w:p w14:paraId="27FAF341" w14:textId="77777777" w:rsidR="00A50854" w:rsidRDefault="00835F9F">
                        <w:pPr>
                          <w:spacing w:after="0" w:line="240" w:lineRule="auto"/>
                        </w:pPr>
                        <w:r>
                          <w:rPr>
                            <w:b/>
                            <w:color w:val="000000"/>
                            <w:sz w:val="24"/>
                          </w:rPr>
                          <w:lastRenderedPageBreak/>
                          <w:t>12. Projektuojant vadovautis šiais dokumentais:</w:t>
                        </w:r>
                      </w:p>
                    </w:tc>
                  </w:tr>
                  <w:tr w:rsidR="001F4514" w14:paraId="27FAF348" w14:textId="77777777" w:rsidTr="001F4514">
                    <w:trPr>
                      <w:trHeight w:val="581"/>
                    </w:trPr>
                    <w:tc>
                      <w:tcPr>
                        <w:tcW w:w="3257" w:type="dxa"/>
                        <w:gridSpan w:val="3"/>
                        <w:tcBorders>
                          <w:top w:val="nil"/>
                          <w:left w:val="nil"/>
                          <w:bottom w:val="nil"/>
                          <w:right w:val="nil"/>
                        </w:tcBorders>
                        <w:tcMar>
                          <w:top w:w="39" w:type="dxa"/>
                          <w:left w:w="39" w:type="dxa"/>
                          <w:bottom w:w="39" w:type="dxa"/>
                          <w:right w:w="39" w:type="dxa"/>
                        </w:tcMar>
                      </w:tcPr>
                      <w:p w14:paraId="27FAF345" w14:textId="49A2D308" w:rsidR="00A50854" w:rsidRDefault="00835F9F">
                        <w:pPr>
                          <w:spacing w:after="0" w:line="240" w:lineRule="auto"/>
                          <w:ind w:left="720" w:hanging="360"/>
                        </w:pPr>
                        <w:r>
                          <w:rPr>
                            <w:i/>
                            <w:color w:val="000000"/>
                            <w:sz w:val="24"/>
                          </w:rPr>
                          <w:t xml:space="preserve">12.1. Lietuvos Respublikos kelių įstatymu, Lietuvos Respublikos statybos įstatymu, kelių techniniu reglamentu, statybos techniniais reglamentais, higienos normomis, kitais poįstatyminiais teisės aktais: </w:t>
                        </w:r>
                        <w:r>
                          <w:rPr>
                            <w:color w:val="000000"/>
                            <w:sz w:val="24"/>
                          </w:rPr>
                          <w:t>Taip;</w:t>
                        </w:r>
                        <w:r>
                          <w:rPr>
                            <w:color w:val="000000"/>
                            <w:sz w:val="24"/>
                          </w:rPr>
                          <w:br/>
                        </w:r>
                        <w:r>
                          <w:rPr>
                            <w:color w:val="000000"/>
                            <w:sz w:val="24"/>
                          </w:rPr>
                          <w:br/>
                        </w:r>
                        <w:r>
                          <w:rPr>
                            <w:i/>
                            <w:color w:val="000000"/>
                            <w:sz w:val="24"/>
                          </w:rPr>
                          <w:t xml:space="preserve">12.2. kitais galiojančiais įstatymais, teisės aktais ir normatyviniais statybos techniniais dokumentais, įskaitant, bet neapsiribojant, nurodytais Akcinės bendrovės </w:t>
                        </w:r>
                        <w:r w:rsidR="001F4514">
                          <w:rPr>
                            <w:i/>
                            <w:color w:val="000000"/>
                            <w:sz w:val="24"/>
                          </w:rPr>
                          <w:t xml:space="preserve">Via </w:t>
                        </w:r>
                        <w:r w:rsidR="0068311E">
                          <w:rPr>
                            <w:i/>
                            <w:color w:val="000000"/>
                            <w:sz w:val="24"/>
                          </w:rPr>
                          <w:t>Lietuvos</w:t>
                        </w:r>
                        <w:r>
                          <w:rPr>
                            <w:i/>
                            <w:color w:val="000000"/>
                            <w:sz w:val="24"/>
                          </w:rPr>
                          <w:t xml:space="preserve"> interneto svetainėje adresu http://lakd.lt/lt/paslaugos/normatyviniai-dokumentai : </w:t>
                        </w:r>
                        <w:r>
                          <w:rPr>
                            <w:color w:val="000000"/>
                            <w:sz w:val="24"/>
                          </w:rPr>
                          <w:t>Taip;</w:t>
                        </w:r>
                        <w:r>
                          <w:rPr>
                            <w:color w:val="000000"/>
                            <w:sz w:val="24"/>
                          </w:rPr>
                          <w:br/>
                        </w:r>
                        <w:r>
                          <w:rPr>
                            <w:color w:val="000000"/>
                            <w:sz w:val="24"/>
                          </w:rPr>
                          <w:br/>
                        </w:r>
                        <w:r>
                          <w:rPr>
                            <w:i/>
                            <w:color w:val="000000"/>
                            <w:sz w:val="24"/>
                          </w:rPr>
                          <w:t xml:space="preserve">12.3. projekto rengimo dokumentais: </w:t>
                        </w:r>
                        <w:r>
                          <w:rPr>
                            <w:color w:val="000000"/>
                            <w:sz w:val="24"/>
                          </w:rPr>
                          <w:t>Taip;</w:t>
                        </w:r>
                        <w:r>
                          <w:rPr>
                            <w:color w:val="000000"/>
                            <w:sz w:val="24"/>
                          </w:rPr>
                          <w:br/>
                        </w:r>
                        <w:r>
                          <w:rPr>
                            <w:color w:val="000000"/>
                            <w:sz w:val="24"/>
                          </w:rPr>
                          <w:br/>
                        </w:r>
                        <w:r>
                          <w:rPr>
                            <w:i/>
                            <w:color w:val="000000"/>
                            <w:sz w:val="24"/>
                          </w:rPr>
                          <w:t xml:space="preserve">12.4. prisijungimo sąlygomis: </w:t>
                        </w:r>
                        <w:r>
                          <w:rPr>
                            <w:color w:val="000000"/>
                            <w:sz w:val="24"/>
                          </w:rPr>
                          <w:t>Taip.</w:t>
                        </w:r>
                        <w:r>
                          <w:rPr>
                            <w:color w:val="000000"/>
                            <w:sz w:val="24"/>
                          </w:rPr>
                          <w:br/>
                          <w:t xml:space="preserve"> </w:t>
                        </w:r>
                      </w:p>
                    </w:tc>
                  </w:tr>
                  <w:tr w:rsidR="001F4514" w14:paraId="27FAF34C" w14:textId="77777777" w:rsidTr="001F4514">
                    <w:trPr>
                      <w:trHeight w:val="1135"/>
                    </w:trPr>
                    <w:tc>
                      <w:tcPr>
                        <w:tcW w:w="3257" w:type="dxa"/>
                        <w:gridSpan w:val="3"/>
                        <w:tcBorders>
                          <w:top w:val="nil"/>
                          <w:left w:val="nil"/>
                          <w:bottom w:val="nil"/>
                          <w:right w:val="nil"/>
                        </w:tcBorders>
                        <w:tcMar>
                          <w:top w:w="39" w:type="dxa"/>
                          <w:left w:w="39" w:type="dxa"/>
                          <w:bottom w:w="39" w:type="dxa"/>
                          <w:right w:w="39" w:type="dxa"/>
                        </w:tcMar>
                      </w:tcPr>
                      <w:p w14:paraId="726B3F2E" w14:textId="77777777" w:rsidR="00835F9F" w:rsidRDefault="00835F9F">
                        <w:pPr>
                          <w:spacing w:after="0" w:line="240" w:lineRule="auto"/>
                          <w:rPr>
                            <w:color w:val="000000"/>
                            <w:sz w:val="24"/>
                          </w:rPr>
                        </w:pPr>
                        <w:r>
                          <w:rPr>
                            <w:b/>
                            <w:color w:val="000000"/>
                            <w:sz w:val="24"/>
                          </w:rPr>
                          <w:t xml:space="preserve">13. Finansavimo šaltinis: </w:t>
                        </w:r>
                        <w:r>
                          <w:rPr>
                            <w:color w:val="000000"/>
                            <w:sz w:val="24"/>
                          </w:rPr>
                          <w:br/>
                          <w:t>Kelių priežiūros ir plėtros programos lėšos.</w:t>
                        </w:r>
                        <w:r>
                          <w:rPr>
                            <w:color w:val="000000"/>
                            <w:sz w:val="24"/>
                          </w:rPr>
                          <w:br/>
                        </w:r>
                        <w:r>
                          <w:rPr>
                            <w:color w:val="000000"/>
                            <w:sz w:val="24"/>
                          </w:rPr>
                          <w:br/>
                        </w:r>
                        <w:r>
                          <w:rPr>
                            <w:b/>
                            <w:color w:val="000000"/>
                            <w:sz w:val="24"/>
                          </w:rPr>
                          <w:t xml:space="preserve">14. Projekto apimtis: </w:t>
                        </w:r>
                        <w:r>
                          <w:rPr>
                            <w:color w:val="000000"/>
                            <w:sz w:val="24"/>
                          </w:rPr>
                          <w:br/>
                          <w:t>Pagal STR 1.04.04:2017 „Statinio projektavimas, projekto ekspertizė“.</w:t>
                        </w:r>
                        <w:r>
                          <w:rPr>
                            <w:color w:val="000000"/>
                            <w:sz w:val="24"/>
                          </w:rPr>
                          <w:br/>
                        </w:r>
                        <w:r>
                          <w:rPr>
                            <w:color w:val="000000"/>
                            <w:sz w:val="24"/>
                          </w:rPr>
                          <w:br/>
                        </w:r>
                        <w:r>
                          <w:rPr>
                            <w:b/>
                            <w:color w:val="000000"/>
                            <w:sz w:val="24"/>
                          </w:rPr>
                          <w:t xml:space="preserve">15. Papildomos paslaugos (paslaugos, deleguotos Statytojo projektuotojui): </w:t>
                        </w:r>
                        <w:r>
                          <w:rPr>
                            <w:color w:val="000000"/>
                            <w:sz w:val="24"/>
                          </w:rPr>
                          <w:br/>
                          <w:t>– parinkti ne mažiau kaip 2 sankryžos pertvarkymo alternatyvas, atlikti eismo srautų modeliavimą ir parinkti priimtiniausią sankryžos pertvarkymo variantą;</w:t>
                        </w:r>
                      </w:p>
                      <w:p w14:paraId="44D9A09C" w14:textId="6BF35E08" w:rsidR="00835F9F" w:rsidRDefault="00835F9F">
                        <w:pPr>
                          <w:spacing w:after="0" w:line="240" w:lineRule="auto"/>
                          <w:rPr>
                            <w:color w:val="000000"/>
                            <w:sz w:val="24"/>
                          </w:rPr>
                        </w:pPr>
                        <w:r>
                          <w:rPr>
                            <w:color w:val="000000"/>
                            <w:sz w:val="24"/>
                          </w:rPr>
                          <w:t xml:space="preserve"> – atlikti kitas paslaugas, kaip tai numato Techninė specifikacija ir Sutarties sąlygos.</w:t>
                        </w:r>
                        <w:r>
                          <w:rPr>
                            <w:color w:val="000000"/>
                            <w:sz w:val="24"/>
                          </w:rPr>
                          <w:br/>
                        </w:r>
                        <w:r>
                          <w:rPr>
                            <w:color w:val="000000"/>
                            <w:sz w:val="24"/>
                          </w:rPr>
                          <w:br/>
                        </w:r>
                        <w:r>
                          <w:rPr>
                            <w:b/>
                            <w:color w:val="000000"/>
                            <w:sz w:val="24"/>
                          </w:rPr>
                          <w:t xml:space="preserve">16. Su šia užduotimi pateikiami Statytojo privalomieji ir kiti dokumentai projektui rengti bei šių dokumentų pateikimo laikotarpis: </w:t>
                        </w:r>
                        <w:r>
                          <w:rPr>
                            <w:color w:val="000000"/>
                            <w:sz w:val="24"/>
                          </w:rPr>
                          <w:br/>
                          <w:t xml:space="preserve">Priedas Nr. 1. Techninė specifikacija; </w:t>
                        </w:r>
                      </w:p>
                      <w:p w14:paraId="0B3D4328" w14:textId="48461D2A" w:rsidR="00835F9F" w:rsidRDefault="00835F9F">
                        <w:pPr>
                          <w:spacing w:after="0" w:line="240" w:lineRule="auto"/>
                          <w:rPr>
                            <w:color w:val="000000"/>
                            <w:sz w:val="24"/>
                          </w:rPr>
                        </w:pPr>
                        <w:r>
                          <w:rPr>
                            <w:color w:val="000000"/>
                            <w:sz w:val="24"/>
                          </w:rPr>
                          <w:t>Priedas Nr. 2. Kadastrinių matavimų bylos (pateikiama pasirašius paslaugų sutartį).</w:t>
                        </w:r>
                        <w:r>
                          <w:rPr>
                            <w:color w:val="000000"/>
                            <w:sz w:val="24"/>
                          </w:rPr>
                          <w:br/>
                        </w:r>
                        <w:r>
                          <w:rPr>
                            <w:color w:val="000000"/>
                            <w:sz w:val="24"/>
                          </w:rPr>
                          <w:br/>
                        </w:r>
                        <w:r>
                          <w:rPr>
                            <w:b/>
                            <w:color w:val="000000"/>
                            <w:sz w:val="24"/>
                          </w:rPr>
                          <w:t xml:space="preserve">17. Žemės sklypo statinio teisinės registracijos Nekilnojamojo turto registre duomenys: </w:t>
                        </w:r>
                        <w:r>
                          <w:rPr>
                            <w:color w:val="000000"/>
                            <w:sz w:val="24"/>
                          </w:rPr>
                          <w:br/>
                          <w:t xml:space="preserve">-kelio sklypo unikalus numeris: 4400-2813-0127; </w:t>
                        </w:r>
                      </w:p>
                      <w:p w14:paraId="27FAF349" w14:textId="147C9A6F" w:rsidR="00A50854" w:rsidRDefault="00835F9F">
                        <w:pPr>
                          <w:spacing w:after="0" w:line="240" w:lineRule="auto"/>
                        </w:pPr>
                        <w:r>
                          <w:rPr>
                            <w:color w:val="000000"/>
                            <w:sz w:val="24"/>
                          </w:rPr>
                          <w:t>-kelio statinio unikalus numeris: 4400-2477-3086.</w:t>
                        </w:r>
                        <w:r>
                          <w:rPr>
                            <w:color w:val="000000"/>
                            <w:sz w:val="24"/>
                          </w:rPr>
                          <w:br/>
                          <w:t xml:space="preserve"> </w:t>
                        </w:r>
                      </w:p>
                    </w:tc>
                  </w:tr>
                  <w:tr w:rsidR="00A50854" w14:paraId="27FAF358" w14:textId="77777777">
                    <w:trPr>
                      <w:trHeight w:val="2256"/>
                    </w:trPr>
                    <w:tc>
                      <w:tcPr>
                        <w:tcW w:w="3257" w:type="dxa"/>
                        <w:tcBorders>
                          <w:top w:val="nil"/>
                          <w:left w:val="nil"/>
                          <w:bottom w:val="nil"/>
                          <w:right w:val="nil"/>
                        </w:tcBorders>
                        <w:tcMar>
                          <w:top w:w="39" w:type="dxa"/>
                          <w:left w:w="39" w:type="dxa"/>
                          <w:bottom w:w="39" w:type="dxa"/>
                          <w:right w:w="39" w:type="dxa"/>
                        </w:tcMar>
                      </w:tcPr>
                      <w:p w14:paraId="27FAF34D" w14:textId="77777777" w:rsidR="00A50854" w:rsidRDefault="00A50854">
                        <w:pPr>
                          <w:spacing w:after="0" w:line="240" w:lineRule="auto"/>
                          <w:jc w:val="center"/>
                        </w:pPr>
                      </w:p>
                      <w:p w14:paraId="27FAF34E" w14:textId="77777777" w:rsidR="00A50854" w:rsidRDefault="00835F9F">
                        <w:pPr>
                          <w:spacing w:after="0" w:line="240" w:lineRule="auto"/>
                          <w:jc w:val="center"/>
                        </w:pPr>
                        <w:r>
                          <w:rPr>
                            <w:color w:val="000000"/>
                            <w:sz w:val="24"/>
                          </w:rPr>
                          <w:t>STATYTOJAS</w:t>
                        </w:r>
                      </w:p>
                      <w:p w14:paraId="27FAF34F" w14:textId="77777777" w:rsidR="00A50854" w:rsidRDefault="00835F9F">
                        <w:pPr>
                          <w:spacing w:after="0" w:line="240" w:lineRule="auto"/>
                          <w:jc w:val="center"/>
                        </w:pPr>
                        <w:r>
                          <w:rPr>
                            <w:color w:val="000000"/>
                            <w:sz w:val="24"/>
                          </w:rPr>
                          <w:t>Akcinė bendrovė Via Lietuva</w:t>
                        </w:r>
                      </w:p>
                      <w:p w14:paraId="27FAF350" w14:textId="77777777" w:rsidR="00A50854" w:rsidRDefault="00A50854">
                        <w:pPr>
                          <w:spacing w:after="0" w:line="240" w:lineRule="auto"/>
                          <w:jc w:val="center"/>
                        </w:pPr>
                      </w:p>
                      <w:p w14:paraId="27FAF351" w14:textId="77777777" w:rsidR="00A50854" w:rsidRDefault="00835F9F">
                        <w:pPr>
                          <w:spacing w:after="0" w:line="240" w:lineRule="auto"/>
                          <w:jc w:val="center"/>
                        </w:pPr>
                        <w:r>
                          <w:rPr>
                            <w:color w:val="000000"/>
                            <w:sz w:val="24"/>
                          </w:rPr>
                          <w:t>(vardas, pavardė, parašas, data)</w:t>
                        </w:r>
                      </w:p>
                    </w:tc>
                    <w:tc>
                      <w:tcPr>
                        <w:tcW w:w="3257" w:type="dxa"/>
                        <w:tcBorders>
                          <w:top w:val="nil"/>
                          <w:left w:val="nil"/>
                          <w:bottom w:val="nil"/>
                          <w:right w:val="nil"/>
                        </w:tcBorders>
                        <w:tcMar>
                          <w:top w:w="39" w:type="dxa"/>
                          <w:left w:w="39" w:type="dxa"/>
                          <w:bottom w:w="39" w:type="dxa"/>
                          <w:right w:w="39" w:type="dxa"/>
                        </w:tcMar>
                      </w:tcPr>
                      <w:p w14:paraId="27FAF352" w14:textId="77777777" w:rsidR="00A50854" w:rsidRDefault="00A50854">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27FAF353" w14:textId="77777777" w:rsidR="00A50854" w:rsidRDefault="00A50854">
                        <w:pPr>
                          <w:spacing w:after="0" w:line="240" w:lineRule="auto"/>
                          <w:jc w:val="center"/>
                        </w:pPr>
                      </w:p>
                      <w:p w14:paraId="27FAF354" w14:textId="77777777" w:rsidR="00A50854" w:rsidRDefault="00835F9F">
                        <w:pPr>
                          <w:spacing w:after="0" w:line="240" w:lineRule="auto"/>
                          <w:jc w:val="center"/>
                        </w:pPr>
                        <w:r>
                          <w:rPr>
                            <w:color w:val="000000"/>
                            <w:sz w:val="24"/>
                          </w:rPr>
                          <w:t>PROJEKTUOTOJAS</w:t>
                        </w:r>
                      </w:p>
                      <w:p w14:paraId="27FAF355" w14:textId="77777777" w:rsidR="00A50854" w:rsidRDefault="00A50854">
                        <w:pPr>
                          <w:spacing w:after="0" w:line="240" w:lineRule="auto"/>
                          <w:jc w:val="center"/>
                        </w:pPr>
                      </w:p>
                      <w:p w14:paraId="27FAF356" w14:textId="77777777" w:rsidR="00A50854" w:rsidRDefault="00A50854">
                        <w:pPr>
                          <w:spacing w:after="0" w:line="240" w:lineRule="auto"/>
                          <w:jc w:val="center"/>
                        </w:pPr>
                      </w:p>
                      <w:p w14:paraId="27FAF357" w14:textId="77777777" w:rsidR="00A50854" w:rsidRDefault="00835F9F">
                        <w:pPr>
                          <w:spacing w:after="0" w:line="240" w:lineRule="auto"/>
                          <w:jc w:val="center"/>
                        </w:pPr>
                        <w:r>
                          <w:rPr>
                            <w:color w:val="000000"/>
                            <w:sz w:val="24"/>
                          </w:rPr>
                          <w:t>(vardas, pavardė, parašas, data)</w:t>
                        </w:r>
                      </w:p>
                    </w:tc>
                  </w:tr>
                </w:tbl>
                <w:p w14:paraId="27FAF359" w14:textId="77777777" w:rsidR="00A50854" w:rsidRDefault="00A50854">
                  <w:pPr>
                    <w:spacing w:after="0" w:line="240" w:lineRule="auto"/>
                  </w:pPr>
                </w:p>
              </w:tc>
            </w:tr>
          </w:tbl>
          <w:p w14:paraId="27FAF35B" w14:textId="77777777" w:rsidR="00A50854" w:rsidRDefault="00A50854">
            <w:pPr>
              <w:spacing w:after="0" w:line="240" w:lineRule="auto"/>
            </w:pPr>
          </w:p>
        </w:tc>
        <w:tc>
          <w:tcPr>
            <w:tcW w:w="614" w:type="dxa"/>
          </w:tcPr>
          <w:p w14:paraId="27FAF35C" w14:textId="77777777" w:rsidR="00A50854" w:rsidRDefault="00A50854">
            <w:pPr>
              <w:pStyle w:val="EmptyCellLayoutStyle"/>
              <w:spacing w:after="0" w:line="240" w:lineRule="auto"/>
            </w:pPr>
          </w:p>
        </w:tc>
      </w:tr>
      <w:tr w:rsidR="00A50854" w14:paraId="27FAF361" w14:textId="77777777">
        <w:trPr>
          <w:trHeight w:val="952"/>
        </w:trPr>
        <w:tc>
          <w:tcPr>
            <w:tcW w:w="638" w:type="dxa"/>
          </w:tcPr>
          <w:p w14:paraId="27FAF35E" w14:textId="77777777" w:rsidR="00A50854" w:rsidRDefault="00A50854">
            <w:pPr>
              <w:pStyle w:val="EmptyCellLayoutStyle"/>
              <w:spacing w:after="0" w:line="240" w:lineRule="auto"/>
            </w:pPr>
          </w:p>
        </w:tc>
        <w:tc>
          <w:tcPr>
            <w:tcW w:w="9771" w:type="dxa"/>
          </w:tcPr>
          <w:p w14:paraId="27FAF35F" w14:textId="77777777" w:rsidR="00A50854" w:rsidRDefault="00A50854">
            <w:pPr>
              <w:pStyle w:val="EmptyCellLayoutStyle"/>
              <w:spacing w:after="0" w:line="240" w:lineRule="auto"/>
            </w:pPr>
          </w:p>
        </w:tc>
        <w:tc>
          <w:tcPr>
            <w:tcW w:w="614" w:type="dxa"/>
          </w:tcPr>
          <w:p w14:paraId="27FAF360" w14:textId="77777777" w:rsidR="00A50854" w:rsidRDefault="00A50854">
            <w:pPr>
              <w:pStyle w:val="EmptyCellLayoutStyle"/>
              <w:spacing w:after="0" w:line="240" w:lineRule="auto"/>
            </w:pPr>
          </w:p>
        </w:tc>
      </w:tr>
    </w:tbl>
    <w:p w14:paraId="27FAF362" w14:textId="77777777" w:rsidR="00A50854" w:rsidRDefault="00A50854">
      <w:pPr>
        <w:spacing w:after="0" w:line="240" w:lineRule="auto"/>
      </w:pPr>
    </w:p>
    <w:sectPr w:rsidR="00A50854" w:rsidSect="006B2E9E">
      <w:pgSz w:w="12584" w:h="16837"/>
      <w:pgMar w:top="993" w:right="566" w:bottom="1135" w:left="992" w:header="1559" w:footer="1133"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64603284">
    <w:abstractNumId w:val="0"/>
  </w:num>
  <w:num w:numId="2" w16cid:durableId="247202305">
    <w:abstractNumId w:val="1"/>
  </w:num>
  <w:num w:numId="3" w16cid:durableId="2096440494">
    <w:abstractNumId w:val="2"/>
  </w:num>
  <w:num w:numId="4" w16cid:durableId="405883480">
    <w:abstractNumId w:val="3"/>
  </w:num>
  <w:num w:numId="5" w16cid:durableId="1328098990">
    <w:abstractNumId w:val="4"/>
  </w:num>
  <w:num w:numId="6" w16cid:durableId="1933972219">
    <w:abstractNumId w:val="5"/>
  </w:num>
  <w:num w:numId="7" w16cid:durableId="1602714861">
    <w:abstractNumId w:val="6"/>
  </w:num>
  <w:num w:numId="8" w16cid:durableId="1093208643">
    <w:abstractNumId w:val="7"/>
  </w:num>
  <w:num w:numId="9" w16cid:durableId="1495219331">
    <w:abstractNumId w:val="8"/>
  </w:num>
  <w:num w:numId="10" w16cid:durableId="1529489019">
    <w:abstractNumId w:val="9"/>
  </w:num>
  <w:num w:numId="11" w16cid:durableId="1957058124">
    <w:abstractNumId w:val="10"/>
  </w:num>
  <w:num w:numId="12" w16cid:durableId="212157394">
    <w:abstractNumId w:val="11"/>
  </w:num>
  <w:num w:numId="13" w16cid:durableId="31808895">
    <w:abstractNumId w:val="12"/>
  </w:num>
  <w:num w:numId="14" w16cid:durableId="1611011482">
    <w:abstractNumId w:val="13"/>
  </w:num>
  <w:num w:numId="15" w16cid:durableId="1881353293">
    <w:abstractNumId w:val="14"/>
  </w:num>
  <w:num w:numId="16" w16cid:durableId="850140843">
    <w:abstractNumId w:val="15"/>
  </w:num>
  <w:num w:numId="17" w16cid:durableId="2063407284">
    <w:abstractNumId w:val="16"/>
  </w:num>
  <w:num w:numId="18" w16cid:durableId="174736485">
    <w:abstractNumId w:val="17"/>
  </w:num>
  <w:num w:numId="19" w16cid:durableId="1097671079">
    <w:abstractNumId w:val="18"/>
  </w:num>
  <w:num w:numId="20" w16cid:durableId="585500079">
    <w:abstractNumId w:val="19"/>
  </w:num>
  <w:num w:numId="21" w16cid:durableId="848329458">
    <w:abstractNumId w:val="20"/>
  </w:num>
  <w:num w:numId="22" w16cid:durableId="1801145673">
    <w:abstractNumId w:val="21"/>
  </w:num>
  <w:num w:numId="23" w16cid:durableId="1725983392">
    <w:abstractNumId w:val="22"/>
  </w:num>
  <w:num w:numId="24" w16cid:durableId="8754613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1296"/>
  <w:hyphenationZone w:val="396"/>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50854"/>
    <w:rsid w:val="00012E46"/>
    <w:rsid w:val="001F4514"/>
    <w:rsid w:val="002F0654"/>
    <w:rsid w:val="004C568B"/>
    <w:rsid w:val="0068311E"/>
    <w:rsid w:val="006B2E9E"/>
    <w:rsid w:val="00835F9F"/>
    <w:rsid w:val="00A50854"/>
    <w:rsid w:val="00D10368"/>
    <w:rsid w:val="00D731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F317"/>
  <w15:docId w15:val="{C334909B-0525-4A26-9A0C-3688BD4F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3528</Words>
  <Characters>2012</Characters>
  <Application>Microsoft Office Word</Application>
  <DocSecurity>0</DocSecurity>
  <Lines>16</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Technine uzduotis</dc:title>
  <dc:creator/>
  <dc:description/>
  <cp:lastModifiedBy>Virginijus Mikalauskis</cp:lastModifiedBy>
  <cp:revision>8</cp:revision>
  <dcterms:created xsi:type="dcterms:W3CDTF">2025-03-12T07:12:00Z</dcterms:created>
  <dcterms:modified xsi:type="dcterms:W3CDTF">2025-03-12T08:14:00Z</dcterms:modified>
</cp:coreProperties>
</file>